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4E1A" w14:textId="769C3DDE" w:rsidR="00463466" w:rsidRDefault="00463466" w:rsidP="00463466">
      <w:pPr>
        <w:pStyle w:val="Titre1"/>
        <w:jc w:val="center"/>
      </w:pPr>
      <w:r w:rsidRPr="00463466">
        <w:rPr>
          <w:b/>
          <w:bCs/>
        </w:rPr>
        <w:t>Dieu, la science, les preuves - L’aube d’une révolution</w:t>
      </w:r>
      <w:r w:rsidRPr="00463466">
        <w:rPr>
          <w:b/>
          <w:bCs/>
        </w:rPr>
        <w:br/>
      </w:r>
      <w:r>
        <w:t xml:space="preserve">Michel-Yves Bolloré et Olivier </w:t>
      </w:r>
      <w:proofErr w:type="spellStart"/>
      <w:r>
        <w:t>Bonnassies</w:t>
      </w:r>
      <w:proofErr w:type="spellEnd"/>
      <w:r>
        <w:t xml:space="preserve"> (2021, Guy Trédaniel éditeur)</w:t>
      </w:r>
    </w:p>
    <w:p w14:paraId="474417CC" w14:textId="44D1C055" w:rsidR="00463466" w:rsidRPr="0095224D" w:rsidRDefault="00463466" w:rsidP="00463466">
      <w:pPr>
        <w:jc w:val="right"/>
      </w:pPr>
      <w:r>
        <w:t xml:space="preserve">Note de lecture, Philippe Deterre, </w:t>
      </w:r>
      <w:r w:rsidR="00A21CA6">
        <w:t>avril</w:t>
      </w:r>
      <w:r>
        <w:t xml:space="preserve"> 2022</w:t>
      </w:r>
    </w:p>
    <w:p w14:paraId="66FA8E7D" w14:textId="116892AC" w:rsidR="00463466" w:rsidRDefault="00811621" w:rsidP="00463466">
      <w:r>
        <w:t xml:space="preserve">Voilà </w:t>
      </w:r>
      <w:r w:rsidR="00463466">
        <w:t xml:space="preserve">un livre conséquent (577 pages) qui a été </w:t>
      </w:r>
      <w:r w:rsidR="00046F2E">
        <w:t xml:space="preserve">déjà vendu </w:t>
      </w:r>
      <w:r w:rsidR="00463466">
        <w:t>à plus de 1</w:t>
      </w:r>
      <w:r w:rsidR="00D108C1">
        <w:t>1</w:t>
      </w:r>
      <w:r w:rsidR="00463466">
        <w:t>0 000 exemplaires</w:t>
      </w:r>
      <w:r w:rsidR="00130AA7">
        <w:t xml:space="preserve">. Il </w:t>
      </w:r>
      <w:r w:rsidR="00046F2E">
        <w:t xml:space="preserve">a donc </w:t>
      </w:r>
      <w:r w:rsidR="00463466">
        <w:t>un certain succès</w:t>
      </w:r>
      <w:r w:rsidR="003C1042">
        <w:t>,</w:t>
      </w:r>
      <w:r w:rsidR="00463466">
        <w:t xml:space="preserve"> y compris </w:t>
      </w:r>
      <w:r w:rsidR="00046F2E">
        <w:t xml:space="preserve">semble-t-il </w:t>
      </w:r>
      <w:r w:rsidR="001770C3">
        <w:t xml:space="preserve">auprès </w:t>
      </w:r>
      <w:r w:rsidR="00463466">
        <w:t>des chrétiens</w:t>
      </w:r>
      <w:r w:rsidR="00130AA7">
        <w:t>, ce qui motive cette note de lecture…</w:t>
      </w:r>
    </w:p>
    <w:p w14:paraId="17ED3BE9" w14:textId="4811D023" w:rsidR="00CE789B" w:rsidRDefault="00CE789B" w:rsidP="00CE789B">
      <w:pPr>
        <w:pStyle w:val="Titre2"/>
      </w:pPr>
      <w:r>
        <w:t>Un livre volumineux…</w:t>
      </w:r>
    </w:p>
    <w:p w14:paraId="4948F656" w14:textId="24E408EB" w:rsidR="001E4F4D" w:rsidRDefault="00130AA7" w:rsidP="00CE789B">
      <w:pPr>
        <w:spacing w:before="0"/>
      </w:pPr>
      <w:r>
        <w:t xml:space="preserve">La première moitié du livre (introduction et première partie) s’emploie à montrer </w:t>
      </w:r>
      <w:r w:rsidR="001E4F4D">
        <w:t xml:space="preserve">- avec un grand sens de la </w:t>
      </w:r>
      <w:r w:rsidR="006143DB">
        <w:t>vulgarisation -</w:t>
      </w:r>
      <w:r w:rsidR="001E4F4D">
        <w:t xml:space="preserve"> </w:t>
      </w:r>
      <w:r>
        <w:t xml:space="preserve">que les sciences du </w:t>
      </w:r>
      <w:r w:rsidR="002E5073">
        <w:t>XX</w:t>
      </w:r>
      <w:r w:rsidR="002E5073" w:rsidRPr="001E4F4D">
        <w:rPr>
          <w:vertAlign w:val="superscript"/>
        </w:rPr>
        <w:t>ème</w:t>
      </w:r>
      <w:r>
        <w:t xml:space="preserve"> siècle atteste</w:t>
      </w:r>
      <w:r w:rsidR="001E4F4D">
        <w:t>nt</w:t>
      </w:r>
      <w:r>
        <w:t xml:space="preserve"> l’idée d</w:t>
      </w:r>
      <w:r w:rsidR="00046F2E">
        <w:t>’un</w:t>
      </w:r>
      <w:r>
        <w:t xml:space="preserve"> </w:t>
      </w:r>
      <w:r w:rsidR="00046F2E">
        <w:t>début</w:t>
      </w:r>
      <w:r>
        <w:t xml:space="preserve"> de l’Univers et </w:t>
      </w:r>
      <w:r w:rsidR="001E4F4D">
        <w:t xml:space="preserve">prouvent </w:t>
      </w:r>
      <w:r w:rsidR="00046F2E">
        <w:t xml:space="preserve">donc </w:t>
      </w:r>
      <w:r>
        <w:t xml:space="preserve">l’existence d’un Dieu </w:t>
      </w:r>
      <w:r w:rsidR="001E4F4D">
        <w:t xml:space="preserve">Créateur </w:t>
      </w:r>
      <w:r>
        <w:t xml:space="preserve">parfois appelé aussi </w:t>
      </w:r>
      <w:r w:rsidR="00B1628F" w:rsidRPr="00CE789B">
        <w:rPr>
          <w:i/>
          <w:iCs/>
        </w:rPr>
        <w:t>« intelligence créatrice »</w:t>
      </w:r>
      <w:r w:rsidR="00046F2E">
        <w:t xml:space="preserve"> (</w:t>
      </w:r>
      <w:r w:rsidR="003A6CDD">
        <w:t>p</w:t>
      </w:r>
      <w:r w:rsidR="00046F2E">
        <w:t>p.20</w:t>
      </w:r>
      <w:r w:rsidR="003A6CDD">
        <w:t>&amp;246</w:t>
      </w:r>
      <w:r w:rsidR="00046F2E">
        <w:t>),</w:t>
      </w:r>
      <w:r w:rsidR="00B1628F">
        <w:t xml:space="preserve"> </w:t>
      </w:r>
      <w:r w:rsidRPr="00CE789B">
        <w:rPr>
          <w:i/>
          <w:iCs/>
        </w:rPr>
        <w:t>« concepteur intelligent »</w:t>
      </w:r>
      <w:r w:rsidR="003A6CDD">
        <w:t xml:space="preserve"> (p.173)</w:t>
      </w:r>
      <w:r w:rsidR="00067406">
        <w:t xml:space="preserve">, </w:t>
      </w:r>
      <w:r w:rsidR="003315F8" w:rsidRPr="00CE789B">
        <w:rPr>
          <w:i/>
          <w:iCs/>
        </w:rPr>
        <w:t>« fabuleux programmeur »</w:t>
      </w:r>
      <w:r w:rsidR="009938F9">
        <w:t xml:space="preserve"> (p.95)</w:t>
      </w:r>
      <w:r w:rsidR="00067406">
        <w:t xml:space="preserve"> ou même </w:t>
      </w:r>
      <w:r w:rsidR="00067406" w:rsidRPr="00CE789B">
        <w:rPr>
          <w:i/>
          <w:iCs/>
        </w:rPr>
        <w:t>« super-extraterrestre »</w:t>
      </w:r>
      <w:r w:rsidR="009938F9">
        <w:t xml:space="preserve"> (p.26)</w:t>
      </w:r>
      <w:r w:rsidR="001E4F4D">
        <w:t xml:space="preserve">. Selon les auteurs, ces preuves sont au nombre – au moins – de </w:t>
      </w:r>
      <w:r w:rsidR="006143DB">
        <w:t>quatre</w:t>
      </w:r>
      <w:r w:rsidR="001E4F4D">
        <w:t xml:space="preserve"> : </w:t>
      </w:r>
    </w:p>
    <w:p w14:paraId="73B78E05" w14:textId="59DE4415" w:rsidR="00130AA7" w:rsidRDefault="006143DB" w:rsidP="009336DA">
      <w:pPr>
        <w:pStyle w:val="Paragraphedeliste"/>
        <w:numPr>
          <w:ilvl w:val="0"/>
          <w:numId w:val="2"/>
        </w:numPr>
        <w:spacing w:before="0"/>
        <w:ind w:left="426"/>
      </w:pPr>
      <w:r>
        <w:t xml:space="preserve">La </w:t>
      </w:r>
      <w:r w:rsidR="001E4F4D">
        <w:t xml:space="preserve">thermodynamique montre </w:t>
      </w:r>
      <w:r w:rsidR="003C1042">
        <w:t>qu’il y aura une</w:t>
      </w:r>
      <w:r w:rsidR="001E4F4D">
        <w:t xml:space="preserve"> </w:t>
      </w:r>
      <w:r w:rsidR="003C1042">
        <w:t>« </w:t>
      </w:r>
      <w:r w:rsidR="001E4F4D">
        <w:t>mort thermique</w:t>
      </w:r>
      <w:r w:rsidR="003C1042">
        <w:t> »</w:t>
      </w:r>
      <w:r w:rsidR="001E4F4D">
        <w:t xml:space="preserve"> de l’univers</w:t>
      </w:r>
      <w:r w:rsidR="003C1042">
        <w:t>. Si fin il y a, c’est donc qu’</w:t>
      </w:r>
      <w:r w:rsidR="001E4F4D">
        <w:t xml:space="preserve">il y a </w:t>
      </w:r>
      <w:r>
        <w:t xml:space="preserve">eu </w:t>
      </w:r>
      <w:r w:rsidR="001E4F4D">
        <w:t>un début</w:t>
      </w:r>
      <w:r>
        <w:t>, et donc un créateur</w:t>
      </w:r>
      <w:r w:rsidR="006C48FD">
        <w:t xml:space="preserve"> (chapitre 4, pp.55-72)</w:t>
      </w:r>
    </w:p>
    <w:p w14:paraId="634CC76D" w14:textId="3A9A4D53" w:rsidR="001E4F4D" w:rsidRDefault="006143DB" w:rsidP="009336DA">
      <w:pPr>
        <w:pStyle w:val="Paragraphedeliste"/>
        <w:numPr>
          <w:ilvl w:val="0"/>
          <w:numId w:val="2"/>
        </w:numPr>
        <w:spacing w:before="0"/>
        <w:ind w:left="426"/>
      </w:pPr>
      <w:r>
        <w:t xml:space="preserve">La </w:t>
      </w:r>
      <w:r w:rsidR="001E4F4D">
        <w:t>théorie du Big Bang et de l’expansion de l’Univers</w:t>
      </w:r>
      <w:r w:rsidR="00971AC1">
        <w:t xml:space="preserve"> montre qu’i</w:t>
      </w:r>
      <w:r w:rsidR="001E4F4D">
        <w:t xml:space="preserve">l y a eu un </w:t>
      </w:r>
      <w:r w:rsidR="009938F9">
        <w:t>commencement</w:t>
      </w:r>
      <w:r w:rsidR="001E4F4D">
        <w:t xml:space="preserve"> absolu</w:t>
      </w:r>
      <w:r w:rsidR="004D2D1B">
        <w:t xml:space="preserve">, </w:t>
      </w:r>
      <w:r w:rsidR="003C1042">
        <w:t xml:space="preserve">et </w:t>
      </w:r>
      <w:r w:rsidR="00971AC1">
        <w:t xml:space="preserve">donc - </w:t>
      </w:r>
      <w:r w:rsidR="003C1042">
        <w:t xml:space="preserve">là encore </w:t>
      </w:r>
      <w:r w:rsidR="00971AC1">
        <w:t xml:space="preserve">- </w:t>
      </w:r>
      <w:r w:rsidR="004D2D1B">
        <w:t>un créateur</w:t>
      </w:r>
      <w:r w:rsidR="006C48FD">
        <w:t xml:space="preserve"> (chapitres 5-7, pp.73-170)</w:t>
      </w:r>
    </w:p>
    <w:p w14:paraId="065B5B62" w14:textId="05A67F24" w:rsidR="001E4F4D" w:rsidRDefault="006143DB" w:rsidP="009336DA">
      <w:pPr>
        <w:pStyle w:val="Paragraphedeliste"/>
        <w:numPr>
          <w:ilvl w:val="0"/>
          <w:numId w:val="2"/>
        </w:numPr>
        <w:spacing w:before="0"/>
        <w:ind w:left="426"/>
      </w:pPr>
      <w:r>
        <w:t>Le réglage fin des constantes physiques permet</w:t>
      </w:r>
      <w:r w:rsidR="00971AC1">
        <w:t xml:space="preserve"> -</w:t>
      </w:r>
      <w:r>
        <w:t xml:space="preserve"> </w:t>
      </w:r>
      <w:r w:rsidR="004D2D1B">
        <w:t xml:space="preserve">entre autres </w:t>
      </w:r>
      <w:r w:rsidR="00971AC1">
        <w:t xml:space="preserve">- </w:t>
      </w:r>
      <w:r>
        <w:t>l’apparition des atomes nécessaires au vivant</w:t>
      </w:r>
      <w:r w:rsidR="00971AC1">
        <w:t>. Ce réglage</w:t>
      </w:r>
      <w:r w:rsidR="009938F9">
        <w:t xml:space="preserve">, </w:t>
      </w:r>
      <w:r w:rsidR="00EA0E54">
        <w:t>à moins d’un milliardième près</w:t>
      </w:r>
      <w:r w:rsidR="004D2D1B">
        <w:t xml:space="preserve">, ne </w:t>
      </w:r>
      <w:r w:rsidR="003C1042">
        <w:t xml:space="preserve">peut </w:t>
      </w:r>
      <w:r w:rsidR="004D2D1B">
        <w:t xml:space="preserve">pas </w:t>
      </w:r>
      <w:r w:rsidR="003C1042">
        <w:t xml:space="preserve">être </w:t>
      </w:r>
      <w:r w:rsidR="004D2D1B">
        <w:t>laiss</w:t>
      </w:r>
      <w:r w:rsidR="003C1042">
        <w:t>é</w:t>
      </w:r>
      <w:r w:rsidR="004D2D1B">
        <w:t xml:space="preserve"> au seul hasard : il y a donc un </w:t>
      </w:r>
      <w:r w:rsidR="003C1042">
        <w:t>« </w:t>
      </w:r>
      <w:r w:rsidR="004D2D1B">
        <w:t>concepteur intelligent</w:t>
      </w:r>
      <w:r w:rsidR="003C1042">
        <w:t> »</w:t>
      </w:r>
      <w:r w:rsidR="006C48FD">
        <w:t xml:space="preserve"> (chapitres 8-9, pp.171-208)</w:t>
      </w:r>
    </w:p>
    <w:p w14:paraId="38CF24AC" w14:textId="3B71FD71" w:rsidR="004D2D1B" w:rsidRDefault="006143DB" w:rsidP="009336DA">
      <w:pPr>
        <w:pStyle w:val="Paragraphedeliste"/>
        <w:numPr>
          <w:ilvl w:val="0"/>
          <w:numId w:val="2"/>
        </w:numPr>
        <w:spacing w:before="0"/>
        <w:ind w:left="426"/>
      </w:pPr>
      <w:r>
        <w:t>L’apparition du vivant sur la planète Terre semble trop complexe pour être due au seul hasard</w:t>
      </w:r>
      <w:r w:rsidR="009336DA">
        <w:t> </w:t>
      </w:r>
      <w:r w:rsidR="004D2D1B">
        <w:t>: il y a donc un</w:t>
      </w:r>
      <w:r w:rsidR="009938F9">
        <w:t>e intelligence supérieure</w:t>
      </w:r>
      <w:r w:rsidR="006C48FD">
        <w:t xml:space="preserve"> (chapitre11, pp.217-248)</w:t>
      </w:r>
    </w:p>
    <w:p w14:paraId="2AD003FE" w14:textId="25E704EC" w:rsidR="00CA1B30" w:rsidRDefault="004D2D1B" w:rsidP="004D2D1B">
      <w:r>
        <w:t xml:space="preserve">La seconde moitié du livre ajoute des preuves « hors science », </w:t>
      </w:r>
      <w:r w:rsidR="00CA1B30">
        <w:t>à savoir :</w:t>
      </w:r>
    </w:p>
    <w:p w14:paraId="015FB506" w14:textId="1DAC10EF" w:rsidR="00CA1B30" w:rsidRDefault="00CA1B30" w:rsidP="00CA1B30">
      <w:pPr>
        <w:pStyle w:val="Paragraphedeliste"/>
        <w:numPr>
          <w:ilvl w:val="0"/>
          <w:numId w:val="3"/>
        </w:numPr>
        <w:spacing w:before="0"/>
      </w:pPr>
      <w:r>
        <w:t xml:space="preserve">La </w:t>
      </w:r>
      <w:r w:rsidR="004D2D1B">
        <w:t xml:space="preserve">Bible contiendrait des vérités scientifiques </w:t>
      </w:r>
      <w:r w:rsidR="00EA0E54">
        <w:t>sur le cosmos et l’homme</w:t>
      </w:r>
      <w:r w:rsidR="009336DA">
        <w:t xml:space="preserve">, qui sont </w:t>
      </w:r>
      <w:r w:rsidR="004D2D1B">
        <w:t xml:space="preserve">impossibles à atteindre </w:t>
      </w:r>
      <w:r w:rsidR="00EA0E54">
        <w:t>humainement</w:t>
      </w:r>
      <w:r w:rsidR="006C48FD">
        <w:t xml:space="preserve"> (chapitres 16-17, pp.325-380)</w:t>
      </w:r>
    </w:p>
    <w:p w14:paraId="3BC68CDC" w14:textId="29ACBA25" w:rsidR="004D2D1B" w:rsidRDefault="009336DA" w:rsidP="004D2D1B">
      <w:pPr>
        <w:pStyle w:val="Paragraphedeliste"/>
        <w:numPr>
          <w:ilvl w:val="0"/>
          <w:numId w:val="3"/>
        </w:numPr>
      </w:pPr>
      <w:r>
        <w:t>L</w:t>
      </w:r>
      <w:r w:rsidR="004D2D1B">
        <w:t xml:space="preserve">e caractère </w:t>
      </w:r>
      <w:r w:rsidR="00CA1B30">
        <w:t>divin de Jésus</w:t>
      </w:r>
      <w:r>
        <w:t xml:space="preserve"> serait démontré historiquement</w:t>
      </w:r>
      <w:r w:rsidR="006C48FD">
        <w:t xml:space="preserve"> (chapitre 18, pp.381-414)</w:t>
      </w:r>
    </w:p>
    <w:p w14:paraId="19725314" w14:textId="46F0D7E0" w:rsidR="00CA1B30" w:rsidRDefault="00CA1B30" w:rsidP="004D2D1B">
      <w:pPr>
        <w:pStyle w:val="Paragraphedeliste"/>
        <w:numPr>
          <w:ilvl w:val="0"/>
          <w:numId w:val="3"/>
        </w:numPr>
      </w:pPr>
      <w:r>
        <w:t>L’improbable destin du peuple juif plaide</w:t>
      </w:r>
      <w:r w:rsidR="00EA0E54">
        <w:t>rait</w:t>
      </w:r>
      <w:r>
        <w:t xml:space="preserve"> en faveur de l’existence de Dieu</w:t>
      </w:r>
      <w:r w:rsidR="006C48FD">
        <w:t xml:space="preserve"> (ch. 19, pp.415-448)</w:t>
      </w:r>
    </w:p>
    <w:p w14:paraId="56E52CD6" w14:textId="1B57A0B1" w:rsidR="00CA1B30" w:rsidRPr="004D2D1B" w:rsidRDefault="00CA1B30" w:rsidP="004D2D1B">
      <w:pPr>
        <w:pStyle w:val="Paragraphedeliste"/>
        <w:numPr>
          <w:ilvl w:val="0"/>
          <w:numId w:val="3"/>
        </w:numPr>
      </w:pPr>
      <w:r>
        <w:t>La véracité du miracle de Fatima serait impossible à contester</w:t>
      </w:r>
      <w:r w:rsidR="006C48FD">
        <w:t xml:space="preserve"> (ch. </w:t>
      </w:r>
      <w:r w:rsidR="002E5073">
        <w:t>20</w:t>
      </w:r>
      <w:r w:rsidR="006C48FD">
        <w:t>, pp.4</w:t>
      </w:r>
      <w:r w:rsidR="002E5073">
        <w:t>49-488</w:t>
      </w:r>
      <w:r w:rsidR="006C48FD">
        <w:t>)</w:t>
      </w:r>
    </w:p>
    <w:p w14:paraId="0ABD5930" w14:textId="2DBD690A" w:rsidR="00CE789B" w:rsidRDefault="00CE789B" w:rsidP="00CE789B">
      <w:pPr>
        <w:pStyle w:val="Titre2"/>
      </w:pPr>
      <w:r>
        <w:t>… mais finalement peu novateur</w:t>
      </w:r>
      <w:r w:rsidR="00CE6499">
        <w:t xml:space="preserve">. </w:t>
      </w:r>
    </w:p>
    <w:p w14:paraId="7D973528" w14:textId="2AA6970E" w:rsidR="007D6032" w:rsidRDefault="007D6032" w:rsidP="00CE789B">
      <w:pPr>
        <w:spacing w:before="0"/>
      </w:pPr>
      <w:r>
        <w:t xml:space="preserve">Tous ces arguments – du moins les arguments </w:t>
      </w:r>
      <w:r w:rsidR="00C05F52">
        <w:t xml:space="preserve">de type </w:t>
      </w:r>
      <w:r>
        <w:t xml:space="preserve">scientifique </w:t>
      </w:r>
      <w:r w:rsidR="00EE0EC6">
        <w:t>–</w:t>
      </w:r>
      <w:r>
        <w:t xml:space="preserve"> </w:t>
      </w:r>
      <w:r w:rsidR="00EE0EC6">
        <w:t xml:space="preserve">sont en fait assez </w:t>
      </w:r>
      <w:r>
        <w:t>classiques</w:t>
      </w:r>
      <w:r w:rsidR="009336DA">
        <w:t xml:space="preserve">. Ils relèvent </w:t>
      </w:r>
      <w:r>
        <w:t xml:space="preserve">de ce qu’on appelle la théologie naturelle, c’est-à-dire la tentative de </w:t>
      </w:r>
      <w:r w:rsidR="00C05F52">
        <w:t>parler</w:t>
      </w:r>
      <w:r>
        <w:t xml:space="preserve"> de Dieu </w:t>
      </w:r>
      <w:r w:rsidR="00C05F52">
        <w:t xml:space="preserve">– </w:t>
      </w:r>
      <w:r w:rsidR="0077703A">
        <w:t>ici</w:t>
      </w:r>
      <w:r w:rsidR="00C05F52">
        <w:t xml:space="preserve"> de démontrer son existence - </w:t>
      </w:r>
      <w:r>
        <w:t xml:space="preserve">à partir des phénomènes naturels. D’ailleurs, </w:t>
      </w:r>
      <w:r w:rsidR="00EE0EC6">
        <w:t>l</w:t>
      </w:r>
      <w:r>
        <w:t xml:space="preserve">e sujet </w:t>
      </w:r>
      <w:r w:rsidR="00EA0E54">
        <w:t xml:space="preserve">est </w:t>
      </w:r>
      <w:r>
        <w:t xml:space="preserve">très « vendeur » : il y a des dossiers </w:t>
      </w:r>
      <w:r w:rsidR="00C05F52">
        <w:t>récurrents</w:t>
      </w:r>
      <w:r>
        <w:t xml:space="preserve"> </w:t>
      </w:r>
      <w:r w:rsidR="00193CC1">
        <w:t xml:space="preserve">sur « La science et Dieu » </w:t>
      </w:r>
      <w:r>
        <w:t xml:space="preserve">dans </w:t>
      </w:r>
      <w:r w:rsidR="009336DA">
        <w:t>l</w:t>
      </w:r>
      <w:r>
        <w:t xml:space="preserve">es </w:t>
      </w:r>
      <w:r w:rsidR="00193CC1">
        <w:t>journaux</w:t>
      </w:r>
      <w:r w:rsidR="009336DA">
        <w:t xml:space="preserve"> ou l</w:t>
      </w:r>
      <w:r w:rsidR="00193CC1">
        <w:t xml:space="preserve">es </w:t>
      </w:r>
      <w:r>
        <w:t>revues</w:t>
      </w:r>
      <w:r w:rsidR="00C05F52">
        <w:t>. Il y a aussi d</w:t>
      </w:r>
      <w:r>
        <w:t xml:space="preserve">es livres </w:t>
      </w:r>
      <w:r w:rsidR="00563442">
        <w:t>essayant ainsi de prouver l’existence de Dieu à partir des sciences</w:t>
      </w:r>
      <w:r w:rsidR="00193CC1" w:rsidRPr="007710A7">
        <w:t xml:space="preserve"> </w:t>
      </w:r>
      <w:r w:rsidR="00C05F52">
        <w:t xml:space="preserve">qui </w:t>
      </w:r>
      <w:r w:rsidR="00193CC1" w:rsidRPr="007710A7">
        <w:t xml:space="preserve">paraissent régulièrement </w:t>
      </w:r>
      <w:r w:rsidRPr="007710A7">
        <w:t xml:space="preserve">comme </w:t>
      </w:r>
      <w:r w:rsidRPr="008B1C91">
        <w:rPr>
          <w:i/>
          <w:iCs/>
        </w:rPr>
        <w:t xml:space="preserve">« Dieu et la science » </w:t>
      </w:r>
      <w:r w:rsidRPr="007710A7">
        <w:t xml:space="preserve">de </w:t>
      </w:r>
      <w:r w:rsidR="00193CC1" w:rsidRPr="007710A7">
        <w:t xml:space="preserve">J. </w:t>
      </w:r>
      <w:r w:rsidRPr="007710A7">
        <w:t xml:space="preserve">Guitton et </w:t>
      </w:r>
      <w:r w:rsidR="00193CC1" w:rsidRPr="007710A7">
        <w:t xml:space="preserve">des frères </w:t>
      </w:r>
      <w:r w:rsidRPr="007710A7">
        <w:t xml:space="preserve">Bogdanov (Seuil, 1990) ou </w:t>
      </w:r>
      <w:r w:rsidRPr="008B1C91">
        <w:rPr>
          <w:i/>
          <w:iCs/>
        </w:rPr>
        <w:t>« Notre vie a-t-elle un sens ? »</w:t>
      </w:r>
      <w:r w:rsidRPr="007710A7">
        <w:t xml:space="preserve"> de Jean </w:t>
      </w:r>
      <w:proofErr w:type="spellStart"/>
      <w:r w:rsidRPr="007710A7">
        <w:t>Staune</w:t>
      </w:r>
      <w:proofErr w:type="spellEnd"/>
      <w:r w:rsidRPr="007710A7">
        <w:t xml:space="preserve"> </w:t>
      </w:r>
      <w:r w:rsidR="00EE0EC6" w:rsidRPr="007710A7">
        <w:t>(</w:t>
      </w:r>
      <w:r w:rsidR="007710A7" w:rsidRPr="007710A7">
        <w:t>Presse de la Renaissance, 2007</w:t>
      </w:r>
      <w:r w:rsidR="00563442">
        <w:t>)</w:t>
      </w:r>
      <w:r w:rsidR="002E5073">
        <w:t xml:space="preserve">. Finalement, </w:t>
      </w:r>
      <w:r w:rsidR="00EE0EC6" w:rsidRPr="007710A7">
        <w:t xml:space="preserve">celui-ci </w:t>
      </w:r>
      <w:r w:rsidR="002E5073">
        <w:t>n’</w:t>
      </w:r>
      <w:r w:rsidR="00EE0EC6" w:rsidRPr="007710A7">
        <w:t xml:space="preserve">est </w:t>
      </w:r>
      <w:r w:rsidR="002E5073">
        <w:t>qu’</w:t>
      </w:r>
      <w:r w:rsidR="00EE0EC6" w:rsidRPr="007710A7">
        <w:t>une mise à jour</w:t>
      </w:r>
      <w:r w:rsidR="004D5DAF">
        <w:t xml:space="preserve"> de ce genre de littérature</w:t>
      </w:r>
      <w:r w:rsidR="00EE0EC6" w:rsidRPr="007710A7">
        <w:t>…</w:t>
      </w:r>
    </w:p>
    <w:p w14:paraId="42837438" w14:textId="6411917C" w:rsidR="00CE789B" w:rsidRDefault="00CE6499" w:rsidP="00CE789B">
      <w:pPr>
        <w:pStyle w:val="Titre2"/>
      </w:pPr>
      <w:r>
        <w:t>Des arguments largement critiquables sur le plan scientifique…</w:t>
      </w:r>
    </w:p>
    <w:p w14:paraId="755011AA" w14:textId="2886C6BA" w:rsidR="00EE0EC6" w:rsidRDefault="00C05F52" w:rsidP="00BD0D1E">
      <w:pPr>
        <w:spacing w:before="0"/>
      </w:pPr>
      <w:r>
        <w:t>P</w:t>
      </w:r>
      <w:r w:rsidR="00EE0EC6">
        <w:t>lusieurs critiques importantes peuvent être formulées</w:t>
      </w:r>
      <w:r w:rsidR="00F530C5">
        <w:t xml:space="preserve">, </w:t>
      </w:r>
      <w:r w:rsidR="00CE789B">
        <w:t>et d’abord</w:t>
      </w:r>
      <w:r w:rsidR="002E5073">
        <w:t xml:space="preserve"> au niveau </w:t>
      </w:r>
      <w:r w:rsidR="00F530C5">
        <w:t>scientifique</w:t>
      </w:r>
      <w:r w:rsidR="005B43A9">
        <w:t> :</w:t>
      </w:r>
    </w:p>
    <w:p w14:paraId="3573C598" w14:textId="486EBFEE" w:rsidR="00463466" w:rsidRDefault="008B1C91" w:rsidP="00BD0D1E">
      <w:pPr>
        <w:pStyle w:val="Paragraphedeliste"/>
        <w:numPr>
          <w:ilvl w:val="0"/>
          <w:numId w:val="8"/>
        </w:numPr>
        <w:spacing w:before="0"/>
      </w:pPr>
      <w:r>
        <w:t>Faire du Big Bang le synonyme du début de l’univers est très… hasardeux. Citons à ce propos</w:t>
      </w:r>
      <w:r w:rsidR="00811621">
        <w:t xml:space="preserve">- entre autres - </w:t>
      </w:r>
      <w:r w:rsidR="004D5DAF">
        <w:t xml:space="preserve">deux </w:t>
      </w:r>
      <w:r>
        <w:t>physiciens</w:t>
      </w:r>
      <w:r w:rsidR="00811621">
        <w:t xml:space="preserve"> patentés</w:t>
      </w:r>
      <w:r>
        <w:t xml:space="preserve"> : </w:t>
      </w:r>
      <w:r w:rsidRPr="00F530C5">
        <w:rPr>
          <w:i/>
          <w:iCs/>
        </w:rPr>
        <w:t xml:space="preserve">« Nous n’avons pas la preuve que l’Univers a eu une origine, et nous n’avons pas non plus la preuve qu’il n’en a pas » </w:t>
      </w:r>
      <w:r>
        <w:t>(Etienne Klein</w:t>
      </w:r>
      <w:r>
        <w:rPr>
          <w:rStyle w:val="Appelnotedebasdep"/>
        </w:rPr>
        <w:footnoteReference w:id="1"/>
      </w:r>
      <w:r>
        <w:t>, l’Express, 22 décembre 2021)</w:t>
      </w:r>
      <w:r w:rsidR="004D5DAF">
        <w:t>.</w:t>
      </w:r>
      <w:r w:rsidRPr="00F530C5">
        <w:rPr>
          <w:i/>
          <w:iCs/>
        </w:rPr>
        <w:t xml:space="preserve"> « Un quelconque énoncé scientifique à propos d’un commencement ne peut être qu’une extrapolation incertaine »</w:t>
      </w:r>
      <w:r>
        <w:t xml:space="preserve"> (Raphaël </w:t>
      </w:r>
      <w:proofErr w:type="spellStart"/>
      <w:r>
        <w:t>Duqué</w:t>
      </w:r>
      <w:proofErr w:type="spellEnd"/>
      <w:r>
        <w:t>, La Croix, 10 janvier 2022).</w:t>
      </w:r>
      <w:r w:rsidR="004D5DAF">
        <w:t xml:space="preserve"> </w:t>
      </w:r>
    </w:p>
    <w:p w14:paraId="7C58BF38" w14:textId="526B2AC7" w:rsidR="00F530C5" w:rsidRDefault="00F530C5" w:rsidP="00BD0D1E">
      <w:pPr>
        <w:pStyle w:val="Paragraphedeliste"/>
        <w:numPr>
          <w:ilvl w:val="0"/>
          <w:numId w:val="8"/>
        </w:numPr>
      </w:pPr>
      <w:r>
        <w:t xml:space="preserve">Affirmer que l’émergence du vivant sur Terre est impossible sans une </w:t>
      </w:r>
      <w:r w:rsidRPr="00CE789B">
        <w:rPr>
          <w:i/>
          <w:iCs/>
        </w:rPr>
        <w:t>« main</w:t>
      </w:r>
      <w:r w:rsidR="00DD7E3C" w:rsidRPr="00CE789B">
        <w:rPr>
          <w:i/>
          <w:iCs/>
        </w:rPr>
        <w:t xml:space="preserve"> </w:t>
      </w:r>
      <w:r w:rsidRPr="00CE789B">
        <w:rPr>
          <w:i/>
          <w:iCs/>
        </w:rPr>
        <w:t xml:space="preserve">invisible » </w:t>
      </w:r>
      <w:r>
        <w:t xml:space="preserve">(p.218) </w:t>
      </w:r>
      <w:r w:rsidR="00AC5804">
        <w:t xml:space="preserve">indique </w:t>
      </w:r>
      <w:r>
        <w:t>une méconnaissance des recherches actuelles dans le domaine</w:t>
      </w:r>
      <w:r w:rsidR="00BF7E7E">
        <w:t xml:space="preserve"> (cf. la piste</w:t>
      </w:r>
      <w:r w:rsidR="00DE66F0">
        <w:t xml:space="preserve"> intéressante </w:t>
      </w:r>
      <w:r w:rsidR="00BF7E7E">
        <w:t xml:space="preserve">du </w:t>
      </w:r>
      <w:r w:rsidR="00DE66F0">
        <w:lastRenderedPageBreak/>
        <w:t>« monde de l’ARN »</w:t>
      </w:r>
      <w:r w:rsidR="00AC409E">
        <w:rPr>
          <w:rStyle w:val="Appelnotedebasdep"/>
        </w:rPr>
        <w:footnoteReference w:id="2"/>
      </w:r>
      <w:r w:rsidR="00BF7E7E">
        <w:t>)</w:t>
      </w:r>
      <w:r w:rsidR="00AC5804">
        <w:t xml:space="preserve">. </w:t>
      </w:r>
      <w:r w:rsidR="002E5073">
        <w:t>Ici, l</w:t>
      </w:r>
      <w:r w:rsidR="00AC5804">
        <w:t>’argument</w:t>
      </w:r>
      <w:r w:rsidR="00AC409E">
        <w:t>aire</w:t>
      </w:r>
      <w:r w:rsidR="00AC5804">
        <w:t xml:space="preserve"> </w:t>
      </w:r>
      <w:r w:rsidR="00AC409E">
        <w:t xml:space="preserve">de </w:t>
      </w:r>
      <w:r w:rsidR="00C05F52">
        <w:t xml:space="preserve">Bolloré et </w:t>
      </w:r>
      <w:proofErr w:type="spellStart"/>
      <w:r w:rsidR="00C05F52">
        <w:t>Bonnassies</w:t>
      </w:r>
      <w:proofErr w:type="spellEnd"/>
      <w:r w:rsidR="00AC409E">
        <w:t xml:space="preserve"> </w:t>
      </w:r>
      <w:r w:rsidR="00AC5804">
        <w:t>e</w:t>
      </w:r>
      <w:r w:rsidR="00337B3B">
        <w:t>st</w:t>
      </w:r>
      <w:r w:rsidR="00AC5804">
        <w:t xml:space="preserve"> en fait un</w:t>
      </w:r>
      <w:r w:rsidR="00AC409E">
        <w:t xml:space="preserve">e </w:t>
      </w:r>
      <w:r w:rsidR="002E5073">
        <w:t xml:space="preserve">reprise de la théorie </w:t>
      </w:r>
      <w:r w:rsidR="00AC5804">
        <w:t>d</w:t>
      </w:r>
      <w:r w:rsidR="00BF7E7E">
        <w:t>u</w:t>
      </w:r>
      <w:r w:rsidR="00AC5804">
        <w:t xml:space="preserve"> « dessein intelligent »</w:t>
      </w:r>
      <w:r w:rsidR="00DD7E3C">
        <w:t>, une forme modernisée du créationnisme</w:t>
      </w:r>
      <w:r w:rsidR="00F174C0">
        <w:t xml:space="preserve"> apparue à la fin des années 80 aux USA</w:t>
      </w:r>
      <w:r w:rsidR="008F699F">
        <w:t xml:space="preserve">, largement critiquée </w:t>
      </w:r>
      <w:r w:rsidR="00CF79F2">
        <w:t xml:space="preserve">et scientifiquement réfutée </w:t>
      </w:r>
      <w:r w:rsidR="008F699F">
        <w:t>depui</w:t>
      </w:r>
      <w:r w:rsidR="00CF79F2">
        <w:t>s</w:t>
      </w:r>
      <w:r w:rsidR="008166C9">
        <w:rPr>
          <w:rStyle w:val="Appelnotedebasdep"/>
        </w:rPr>
        <w:footnoteReference w:id="3"/>
      </w:r>
      <w:r w:rsidR="00CF79F2">
        <w:t>.</w:t>
      </w:r>
    </w:p>
    <w:p w14:paraId="42AAFDEF" w14:textId="03CA2924" w:rsidR="00CE6499" w:rsidRDefault="00CE6499" w:rsidP="00CE6499">
      <w:pPr>
        <w:pStyle w:val="Titre2"/>
      </w:pPr>
      <w:r>
        <w:t>…le plan théologique</w:t>
      </w:r>
      <w:r w:rsidR="000A5E9C">
        <w:t>, …</w:t>
      </w:r>
    </w:p>
    <w:p w14:paraId="0F665B3B" w14:textId="54341450" w:rsidR="00067406" w:rsidRDefault="008F699F" w:rsidP="001B4003">
      <w:pPr>
        <w:spacing w:before="0"/>
      </w:pPr>
      <w:r>
        <w:t>Mais il me semble que</w:t>
      </w:r>
      <w:r w:rsidR="00BD0D1E">
        <w:t xml:space="preserve"> le défaut majeur de ce livre est de se tromper sur ce que la foi monothéiste désigne comme Dieu créateur. En faire </w:t>
      </w:r>
      <w:r w:rsidR="00E503BD">
        <w:t xml:space="preserve">un programmeur ou un </w:t>
      </w:r>
      <w:r w:rsidR="00067406">
        <w:t xml:space="preserve">concepteur </w:t>
      </w:r>
      <w:r w:rsidR="00E503BD">
        <w:t xml:space="preserve">- </w:t>
      </w:r>
      <w:r w:rsidR="00067406">
        <w:t>même très intelligent</w:t>
      </w:r>
      <w:r w:rsidR="00E503BD">
        <w:t xml:space="preserve"> - </w:t>
      </w:r>
      <w:r w:rsidR="00067406">
        <w:t xml:space="preserve">c’est </w:t>
      </w:r>
      <w:r w:rsidR="00DF4F39">
        <w:t xml:space="preserve">l’utiliser comme </w:t>
      </w:r>
      <w:r w:rsidR="00067406">
        <w:t>« bouche-trou » pour nos ignorances actuelles</w:t>
      </w:r>
      <w:r w:rsidR="00795B9B">
        <w:t xml:space="preserve"> (ceci ou cela est trop « complexe » pour être expliqué autrement, donc…)</w:t>
      </w:r>
      <w:r w:rsidR="00563442">
        <w:t>. D</w:t>
      </w:r>
      <w:r w:rsidR="00067406">
        <w:t>’autre</w:t>
      </w:r>
      <w:r w:rsidR="00795B9B">
        <w:t xml:space="preserve"> part</w:t>
      </w:r>
      <w:r w:rsidR="00067406">
        <w:t xml:space="preserve">, c’est ignorer que l’acte créateur est autre chose qu’une fabrication, </w:t>
      </w:r>
      <w:r w:rsidR="00F174C0">
        <w:t xml:space="preserve">et que </w:t>
      </w:r>
      <w:r w:rsidR="00067406">
        <w:t xml:space="preserve">c’est – pour </w:t>
      </w:r>
      <w:r w:rsidR="00F174C0">
        <w:t xml:space="preserve">le </w:t>
      </w:r>
      <w:r w:rsidR="00067406">
        <w:t>moins - une parole d’alliance.</w:t>
      </w:r>
    </w:p>
    <w:p w14:paraId="2F242D24" w14:textId="21EE2BE8" w:rsidR="00F837C3" w:rsidRDefault="006D0419" w:rsidP="00970C9B">
      <w:r>
        <w:t>Mais, après tout pourrait-on dire, partir de la Nature vue et entendue comm</w:t>
      </w:r>
      <w:r w:rsidR="00F174C0">
        <w:t>e</w:t>
      </w:r>
      <w:r>
        <w:t xml:space="preserve"> </w:t>
      </w:r>
      <w:r w:rsidR="00F174C0">
        <w:t>c</w:t>
      </w:r>
      <w:r>
        <w:t>réation</w:t>
      </w:r>
      <w:r w:rsidR="00F174C0">
        <w:t>-fabrication</w:t>
      </w:r>
      <w:r>
        <w:t xml:space="preserve"> </w:t>
      </w:r>
      <w:r w:rsidR="00F174C0">
        <w:t xml:space="preserve">est </w:t>
      </w:r>
      <w:r>
        <w:t>un</w:t>
      </w:r>
      <w:r w:rsidR="00DF4F39">
        <w:t>e</w:t>
      </w:r>
      <w:r>
        <w:t xml:space="preserve"> </w:t>
      </w:r>
      <w:r w:rsidR="00DF4F39">
        <w:t>voie</w:t>
      </w:r>
      <w:r>
        <w:t xml:space="preserve"> </w:t>
      </w:r>
      <w:r w:rsidR="00F174C0">
        <w:t xml:space="preserve">possible </w:t>
      </w:r>
      <w:r>
        <w:t>pour entrer dans le mystère de Dieu</w:t>
      </w:r>
      <w:r w:rsidR="00BF7E7E">
        <w:t>, le Dieu</w:t>
      </w:r>
      <w:r>
        <w:t xml:space="preserve"> </w:t>
      </w:r>
      <w:r w:rsidR="00563442">
        <w:t xml:space="preserve">des religions en général et </w:t>
      </w:r>
      <w:r>
        <w:t>de la révélation chrétienne</w:t>
      </w:r>
      <w:r w:rsidR="00AF73BF">
        <w:t xml:space="preserve"> en particulier</w:t>
      </w:r>
      <w:r>
        <w:t xml:space="preserve">. </w:t>
      </w:r>
      <w:r w:rsidR="00E046E0">
        <w:t xml:space="preserve">Effectivement, dans leur </w:t>
      </w:r>
      <w:r w:rsidR="007C0465">
        <w:t xml:space="preserve">avertissement au début du livre, </w:t>
      </w:r>
      <w:r w:rsidR="00E046E0">
        <w:t>les</w:t>
      </w:r>
      <w:r w:rsidR="007C0465">
        <w:t xml:space="preserve"> auteurs souhaitent </w:t>
      </w:r>
      <w:r w:rsidR="00DF4F39">
        <w:t>à leurs</w:t>
      </w:r>
      <w:r w:rsidR="007C0465">
        <w:t xml:space="preserve"> lecteurs </w:t>
      </w:r>
      <w:r w:rsidR="007C0465" w:rsidRPr="007C0465">
        <w:rPr>
          <w:i/>
          <w:iCs/>
        </w:rPr>
        <w:t>« que vous puissiez avoir en main tous les éléments qui vous permettront de décider de ce que vous voulez croire, en toute liberté et de manière éclairée »</w:t>
      </w:r>
      <w:r w:rsidR="007C0465">
        <w:rPr>
          <w:i/>
          <w:iCs/>
        </w:rPr>
        <w:t xml:space="preserve"> </w:t>
      </w:r>
      <w:r w:rsidR="007C0465">
        <w:t xml:space="preserve">(p.15). </w:t>
      </w:r>
      <w:r w:rsidR="00BF7E7E">
        <w:t>Mais, m</w:t>
      </w:r>
      <w:r w:rsidR="00F30CF8">
        <w:t xml:space="preserve">algré </w:t>
      </w:r>
      <w:r w:rsidR="00BF7E7E">
        <w:t>ce souhait</w:t>
      </w:r>
      <w:r w:rsidR="00F30CF8">
        <w:t xml:space="preserve"> </w:t>
      </w:r>
      <w:r w:rsidR="00DF4F39">
        <w:t xml:space="preserve">initial </w:t>
      </w:r>
      <w:r w:rsidR="00F30CF8">
        <w:t xml:space="preserve">et malgré l’affirmation de la fin du livre </w:t>
      </w:r>
      <w:r w:rsidR="00BF7E7E">
        <w:t>selon laquelle</w:t>
      </w:r>
      <w:r w:rsidR="00F30CF8">
        <w:t xml:space="preserve"> Dieu a la </w:t>
      </w:r>
      <w:r w:rsidR="00F30CF8" w:rsidRPr="00456095">
        <w:rPr>
          <w:i/>
          <w:iCs/>
        </w:rPr>
        <w:t xml:space="preserve">« capacité </w:t>
      </w:r>
      <w:r w:rsidR="00F30CF8">
        <w:rPr>
          <w:i/>
          <w:iCs/>
        </w:rPr>
        <w:t>de</w:t>
      </w:r>
      <w:r w:rsidR="005F00B1">
        <w:rPr>
          <w:i/>
          <w:iCs/>
        </w:rPr>
        <w:t xml:space="preserve"> </w:t>
      </w:r>
      <w:r w:rsidR="00F30CF8" w:rsidRPr="00456095">
        <w:rPr>
          <w:i/>
          <w:iCs/>
        </w:rPr>
        <w:t>créer des êtres libres et évolutifs »</w:t>
      </w:r>
      <w:r w:rsidR="00F30CF8">
        <w:rPr>
          <w:i/>
          <w:iCs/>
        </w:rPr>
        <w:t xml:space="preserve"> </w:t>
      </w:r>
      <w:r w:rsidR="00F30CF8">
        <w:t xml:space="preserve">(p.527), le livre </w:t>
      </w:r>
      <w:r>
        <w:t>ne se présente pas comme un</w:t>
      </w:r>
      <w:r w:rsidR="00F174C0">
        <w:t>e</w:t>
      </w:r>
      <w:r>
        <w:t xml:space="preserve"> proposition, mais comme une injonction </w:t>
      </w:r>
      <w:r w:rsidR="004545CA">
        <w:t>souvent répétée</w:t>
      </w:r>
      <w:r w:rsidR="00970C9B">
        <w:t xml:space="preserve"> de choisir son camp. </w:t>
      </w:r>
      <w:r w:rsidR="004545CA" w:rsidRPr="00970C9B">
        <w:rPr>
          <w:i/>
          <w:iCs/>
        </w:rPr>
        <w:t>« </w:t>
      </w:r>
      <w:r w:rsidR="00792D17">
        <w:rPr>
          <w:i/>
          <w:iCs/>
        </w:rPr>
        <w:t xml:space="preserve">En définitive, </w:t>
      </w:r>
      <w:r w:rsidR="00BF7E7E" w:rsidRPr="00BF7E7E">
        <w:rPr>
          <w:i/>
          <w:iCs/>
        </w:rPr>
        <w:t>Dieu</w:t>
      </w:r>
      <w:r w:rsidR="00792D17">
        <w:rPr>
          <w:i/>
          <w:iCs/>
        </w:rPr>
        <w:t xml:space="preserve"> existe ou pas : la réponse existe indépendamment de nous et elle est binaire. C’est oui ou c’est non. Seul notre manque de connaissance a pu être </w:t>
      </w:r>
      <w:r w:rsidR="004247A0">
        <w:rPr>
          <w:i/>
          <w:iCs/>
        </w:rPr>
        <w:t xml:space="preserve">un obstacle jusqu’à maintenant » </w:t>
      </w:r>
      <w:r w:rsidR="004247A0">
        <w:t>(p.29).</w:t>
      </w:r>
      <w:r w:rsidR="00970C9B">
        <w:t xml:space="preserve"> </w:t>
      </w:r>
      <w:r w:rsidR="007E0684" w:rsidRPr="007E0684">
        <w:rPr>
          <w:i/>
          <w:iCs/>
        </w:rPr>
        <w:t xml:space="preserve">« Car les preuves de l’existence de Dieu présentées ici sont bel et bien modernes, claires, rationnelles, multidisciplinaires, </w:t>
      </w:r>
      <w:proofErr w:type="spellStart"/>
      <w:r w:rsidR="007E0684" w:rsidRPr="007E0684">
        <w:rPr>
          <w:i/>
          <w:iCs/>
        </w:rPr>
        <w:t>confrontables</w:t>
      </w:r>
      <w:proofErr w:type="spellEnd"/>
      <w:r w:rsidR="007E0684" w:rsidRPr="007E0684">
        <w:rPr>
          <w:i/>
          <w:iCs/>
        </w:rPr>
        <w:t xml:space="preserve"> objectivement à l’Univers réel et, qui plus est, elles sont nombreuses » </w:t>
      </w:r>
      <w:r w:rsidR="007E0684" w:rsidRPr="004B3A0B">
        <w:t>(p.537)</w:t>
      </w:r>
      <w:r w:rsidR="00F837C3">
        <w:t>.</w:t>
      </w:r>
    </w:p>
    <w:p w14:paraId="38D98670" w14:textId="136A6E86" w:rsidR="007C0465" w:rsidRDefault="00CE6499" w:rsidP="002B05E4">
      <w:r>
        <w:t>En effet, selon nos auteurs,</w:t>
      </w:r>
      <w:r w:rsidRPr="00CE6499">
        <w:rPr>
          <w:i/>
          <w:iCs/>
        </w:rPr>
        <w:t xml:space="preserve"> « l’existence d’un dieu créateur comme son inexistence sont deux théories » </w:t>
      </w:r>
      <w:r>
        <w:t>(p.44). Le choix à faire n’est pas un</w:t>
      </w:r>
      <w:r w:rsidR="00BF7E7E">
        <w:t xml:space="preserve">e question </w:t>
      </w:r>
      <w:r>
        <w:t xml:space="preserve">de conscience, voire de foi, mais </w:t>
      </w:r>
      <w:r w:rsidR="002B05E4">
        <w:t xml:space="preserve">il est au bout d’un raisonnement, d’une connaissance, </w:t>
      </w:r>
      <w:r w:rsidR="00DF4F39">
        <w:t>à partir</w:t>
      </w:r>
      <w:r w:rsidR="002B05E4">
        <w:t xml:space="preserve"> de laquelle </w:t>
      </w:r>
      <w:r w:rsidR="002B05E4" w:rsidRPr="002B05E4">
        <w:rPr>
          <w:i/>
          <w:iCs/>
        </w:rPr>
        <w:t xml:space="preserve">« on est en droit de conclure que l’Univers, et de manière plus générale toute réalité contingente, connue ou inconnue de nous, a pour cause un être nécessaire, simple, unique, immatériel, atemporel, </w:t>
      </w:r>
      <w:proofErr w:type="spellStart"/>
      <w:r w:rsidR="002B05E4" w:rsidRPr="002B05E4">
        <w:rPr>
          <w:i/>
          <w:iCs/>
        </w:rPr>
        <w:t>incausé</w:t>
      </w:r>
      <w:proofErr w:type="spellEnd"/>
      <w:r w:rsidR="002B05E4" w:rsidRPr="002B05E4">
        <w:rPr>
          <w:i/>
          <w:iCs/>
        </w:rPr>
        <w:t>, infiniment puissant et intelligent »</w:t>
      </w:r>
      <w:r w:rsidR="005F00B1" w:rsidRPr="005F00B1">
        <w:rPr>
          <w:i/>
          <w:iCs/>
        </w:rPr>
        <w:t xml:space="preserve"> (</w:t>
      </w:r>
      <w:r w:rsidR="005F00B1">
        <w:t>p.</w:t>
      </w:r>
      <w:r w:rsidR="00F837C3">
        <w:t>5</w:t>
      </w:r>
      <w:r w:rsidR="005F00B1">
        <w:t>18)</w:t>
      </w:r>
      <w:r w:rsidR="00F837C3">
        <w:t>.</w:t>
      </w:r>
      <w:r w:rsidR="002B05E4">
        <w:t xml:space="preserve"> On aboutit donc – au mieux – à un théisme gnostique, une adhésion à une théorie de </w:t>
      </w:r>
      <w:r w:rsidR="000A5E9C">
        <w:t>début du monde, alors que la foi en Dieu créateur est d’abord, me semble-t-il, une prise de position</w:t>
      </w:r>
      <w:r w:rsidR="00DF4F39">
        <w:t xml:space="preserve"> </w:t>
      </w:r>
      <w:r w:rsidR="000A5E9C">
        <w:t>sur la primauté de la vie, de la bonté et de la beauté sur le mal et le malheur</w:t>
      </w:r>
      <w:r w:rsidR="00603D3C">
        <w:rPr>
          <w:rStyle w:val="Appelnotedebasdep"/>
        </w:rPr>
        <w:footnoteReference w:id="4"/>
      </w:r>
      <w:r w:rsidR="000A5E9C">
        <w:t> !</w:t>
      </w:r>
    </w:p>
    <w:p w14:paraId="7357CA54" w14:textId="6563D9E3" w:rsidR="000A5E9C" w:rsidRPr="000A5E9C" w:rsidRDefault="000A5E9C" w:rsidP="000A5E9C">
      <w:pPr>
        <w:pStyle w:val="Titre2"/>
      </w:pPr>
      <w:r w:rsidRPr="000A5E9C">
        <w:t xml:space="preserve">… et le plan historique. </w:t>
      </w:r>
    </w:p>
    <w:p w14:paraId="13B36A38" w14:textId="41217442" w:rsidR="0063247F" w:rsidRDefault="008215B5" w:rsidP="001B4003">
      <w:pPr>
        <w:spacing w:before="0"/>
      </w:pPr>
      <w:r>
        <w:t>Au début d</w:t>
      </w:r>
      <w:r w:rsidR="00FC53CC">
        <w:t xml:space="preserve">e leur </w:t>
      </w:r>
      <w:r>
        <w:t>livre (</w:t>
      </w:r>
      <w:r w:rsidR="004247A0">
        <w:t>pp.21</w:t>
      </w:r>
      <w:r>
        <w:t>-27), les auteurs présentent</w:t>
      </w:r>
      <w:r w:rsidR="004247A0">
        <w:t xml:space="preserve"> </w:t>
      </w:r>
      <w:r w:rsidR="00FC53CC">
        <w:t xml:space="preserve">une </w:t>
      </w:r>
      <w:r>
        <w:t xml:space="preserve">histoire </w:t>
      </w:r>
      <w:r w:rsidR="009C6D0B">
        <w:t>des découvertes</w:t>
      </w:r>
      <w:r>
        <w:t xml:space="preserve"> scientifique</w:t>
      </w:r>
      <w:r w:rsidR="009C6D0B">
        <w:t>s</w:t>
      </w:r>
      <w:r>
        <w:t xml:space="preserve"> </w:t>
      </w:r>
      <w:r w:rsidR="00472228">
        <w:t>depuis le</w:t>
      </w:r>
      <w:r w:rsidR="00FC53CC">
        <w:t xml:space="preserve"> </w:t>
      </w:r>
      <w:r>
        <w:t>XVI</w:t>
      </w:r>
      <w:r w:rsidRPr="008215B5">
        <w:rPr>
          <w:vertAlign w:val="superscript"/>
        </w:rPr>
        <w:t>ème</w:t>
      </w:r>
      <w:r>
        <w:t xml:space="preserve"> siècle</w:t>
      </w:r>
      <w:r w:rsidR="00FC53CC">
        <w:t>. Se</w:t>
      </w:r>
      <w:r>
        <w:t xml:space="preserve">lon eux, </w:t>
      </w:r>
      <w:r w:rsidR="009C6D0B">
        <w:t>ces découvertes sembl</w:t>
      </w:r>
      <w:r w:rsidR="00F321FA">
        <w:t>aie</w:t>
      </w:r>
      <w:r w:rsidR="009C6D0B">
        <w:t>nt justifier les thèses matérialistes</w:t>
      </w:r>
      <w:r w:rsidR="00472228">
        <w:t>, jusqu’au début du XX</w:t>
      </w:r>
      <w:r w:rsidR="00472228" w:rsidRPr="008215B5">
        <w:rPr>
          <w:vertAlign w:val="superscript"/>
        </w:rPr>
        <w:t>ème</w:t>
      </w:r>
      <w:r w:rsidR="00472228">
        <w:t xml:space="preserve"> siècle</w:t>
      </w:r>
      <w:r w:rsidR="009C6D0B">
        <w:t>. Mais depuis,</w:t>
      </w:r>
      <w:r w:rsidR="00FC53CC">
        <w:t xml:space="preserve"> </w:t>
      </w:r>
      <w:r w:rsidR="009C6D0B">
        <w:t xml:space="preserve">la thermodynamique, </w:t>
      </w:r>
      <w:r w:rsidR="003A3326">
        <w:t xml:space="preserve">les physiques </w:t>
      </w:r>
      <w:r w:rsidR="009C6D0B">
        <w:t>quantique et relativiste et la théorie du Big Bang auraient inversé le mouvement et abouti</w:t>
      </w:r>
      <w:r w:rsidR="00472228">
        <w:t>ssen</w:t>
      </w:r>
      <w:r w:rsidR="009C6D0B">
        <w:t xml:space="preserve">t à ce que </w:t>
      </w:r>
      <w:r w:rsidR="00C05F52">
        <w:t xml:space="preserve">Bolloré et </w:t>
      </w:r>
      <w:proofErr w:type="spellStart"/>
      <w:r w:rsidR="00C05F52">
        <w:t>Bonnassies</w:t>
      </w:r>
      <w:proofErr w:type="spellEnd"/>
      <w:r w:rsidR="009C6D0B">
        <w:t xml:space="preserve"> appellent le </w:t>
      </w:r>
      <w:r w:rsidR="009C6D0B" w:rsidRPr="009C6D0B">
        <w:rPr>
          <w:i/>
          <w:iCs/>
        </w:rPr>
        <w:t>« grand retournement »</w:t>
      </w:r>
      <w:r w:rsidR="009C6D0B">
        <w:t xml:space="preserve"> (p.31 »), c’est-à-dire </w:t>
      </w:r>
      <w:r w:rsidR="00472228">
        <w:t>le</w:t>
      </w:r>
      <w:r w:rsidR="009C6D0B">
        <w:t xml:space="preserve"> retour </w:t>
      </w:r>
      <w:r w:rsidR="00E928C3">
        <w:t xml:space="preserve">de la théorie de Dieu créateur. Outre les raccourcis historiques d’une telle description, le lecteur comprend mieux ici le projet sous-jacent </w:t>
      </w:r>
      <w:r w:rsidR="00472228">
        <w:t>d</w:t>
      </w:r>
      <w:r w:rsidR="00E928C3">
        <w:t>u livre : revenir au temps d’avant la sécularisation et à l’évidence d</w:t>
      </w:r>
      <w:r w:rsidR="00606D57">
        <w:t>’un</w:t>
      </w:r>
      <w:r w:rsidR="00E928C3">
        <w:t xml:space="preserve"> Dieu </w:t>
      </w:r>
      <w:r w:rsidR="00606D57">
        <w:t xml:space="preserve">créateur </w:t>
      </w:r>
      <w:r w:rsidR="00606D57" w:rsidRPr="00603D3C">
        <w:rPr>
          <w:i/>
          <w:iCs/>
        </w:rPr>
        <w:t>« parfait et intelligible »</w:t>
      </w:r>
      <w:r w:rsidR="00606D57">
        <w:t xml:space="preserve"> (p.51)</w:t>
      </w:r>
      <w:r w:rsidR="000C6681">
        <w:t xml:space="preserve">. Il </w:t>
      </w:r>
      <w:r w:rsidR="003A3326">
        <w:t xml:space="preserve">me </w:t>
      </w:r>
      <w:r w:rsidR="000C6681">
        <w:t xml:space="preserve">semble que l’on peut lire </w:t>
      </w:r>
      <w:r w:rsidR="003A3326">
        <w:t xml:space="preserve">autrement </w:t>
      </w:r>
      <w:r w:rsidR="000C6681">
        <w:t>l’histoire des sciences des deux derniers siècles</w:t>
      </w:r>
      <w:r w:rsidR="003A3326">
        <w:t xml:space="preserve">, </w:t>
      </w:r>
      <w:r w:rsidR="000C6681">
        <w:t xml:space="preserve">comme celle d’une recherche </w:t>
      </w:r>
      <w:r w:rsidR="00B00204">
        <w:t xml:space="preserve">scientifique </w:t>
      </w:r>
      <w:r w:rsidR="00603D3C">
        <w:t>passionnée</w:t>
      </w:r>
      <w:r w:rsidR="000C6681">
        <w:t xml:space="preserve">, avec des </w:t>
      </w:r>
      <w:r w:rsidR="00433EAA">
        <w:t>résultats</w:t>
      </w:r>
      <w:r w:rsidR="000C6681">
        <w:t xml:space="preserve"> </w:t>
      </w:r>
      <w:r w:rsidR="00603D3C">
        <w:t>surprenant</w:t>
      </w:r>
      <w:r w:rsidR="00433EAA">
        <w:t>s</w:t>
      </w:r>
      <w:r w:rsidR="00603D3C">
        <w:t xml:space="preserve"> et paradoxa</w:t>
      </w:r>
      <w:r w:rsidR="00433EAA">
        <w:t>ux</w:t>
      </w:r>
      <w:r w:rsidR="000C6681">
        <w:t xml:space="preserve">, </w:t>
      </w:r>
      <w:r w:rsidR="00603D3C">
        <w:t>indiquant</w:t>
      </w:r>
      <w:r w:rsidR="000C6681">
        <w:t xml:space="preserve"> – pour le moins – la </w:t>
      </w:r>
      <w:r w:rsidR="00603D3C">
        <w:t xml:space="preserve">présence </w:t>
      </w:r>
      <w:r w:rsidR="003A3326">
        <w:t xml:space="preserve">permanente </w:t>
      </w:r>
      <w:r w:rsidR="000C6681">
        <w:t>d’un souffle</w:t>
      </w:r>
      <w:r w:rsidR="00CF79F2">
        <w:t xml:space="preserve">, </w:t>
      </w:r>
      <w:r w:rsidR="00472228">
        <w:t>d’une intelligence humaine</w:t>
      </w:r>
      <w:r w:rsidR="00B00204">
        <w:t xml:space="preserve"> </w:t>
      </w:r>
      <w:r w:rsidR="006410C2">
        <w:t xml:space="preserve">qui </w:t>
      </w:r>
      <w:r w:rsidR="00F67014">
        <w:t>s’aventur</w:t>
      </w:r>
      <w:r w:rsidR="006410C2">
        <w:t>e</w:t>
      </w:r>
      <w:r w:rsidR="00F67014">
        <w:t xml:space="preserve"> sur des voies </w:t>
      </w:r>
      <w:r w:rsidR="00433EAA">
        <w:t xml:space="preserve">de découvertes </w:t>
      </w:r>
      <w:r w:rsidR="00F67014">
        <w:t>défiant le bon sens</w:t>
      </w:r>
      <w:r w:rsidR="00F321FA">
        <w:t xml:space="preserve"> ; et ce, avec éthique et responsabilité, malgré les dérives transhumanistes. </w:t>
      </w:r>
      <w:r w:rsidR="0063247F">
        <w:t>D’aucuns</w:t>
      </w:r>
      <w:r w:rsidR="00472228">
        <w:t xml:space="preserve"> </w:t>
      </w:r>
      <w:r w:rsidR="0063247F">
        <w:t>- croyants et chrétiens par exemple</w:t>
      </w:r>
      <w:r w:rsidR="00DE4381">
        <w:t xml:space="preserve"> </w:t>
      </w:r>
      <w:r w:rsidR="0063247F">
        <w:t>- peuvent y lire la trace d’un Dieu créateur toujours à l’œuvre…</w:t>
      </w:r>
    </w:p>
    <w:sectPr w:rsidR="0063247F" w:rsidSect="009336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03E9" w14:textId="77777777" w:rsidR="00F26436" w:rsidRDefault="00F26436" w:rsidP="00AC5804">
      <w:pPr>
        <w:spacing w:before="0" w:line="240" w:lineRule="auto"/>
      </w:pPr>
      <w:r>
        <w:separator/>
      </w:r>
    </w:p>
  </w:endnote>
  <w:endnote w:type="continuationSeparator" w:id="0">
    <w:p w14:paraId="50F96BF2" w14:textId="77777777" w:rsidR="00F26436" w:rsidRDefault="00F26436" w:rsidP="00AC58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0FE5" w14:textId="77777777" w:rsidR="00F26436" w:rsidRDefault="00F26436" w:rsidP="00AC5804">
      <w:pPr>
        <w:spacing w:before="0" w:line="240" w:lineRule="auto"/>
      </w:pPr>
      <w:r>
        <w:separator/>
      </w:r>
    </w:p>
  </w:footnote>
  <w:footnote w:type="continuationSeparator" w:id="0">
    <w:p w14:paraId="3441B206" w14:textId="77777777" w:rsidR="00F26436" w:rsidRDefault="00F26436" w:rsidP="00AC5804">
      <w:pPr>
        <w:spacing w:before="0" w:line="240" w:lineRule="auto"/>
      </w:pPr>
      <w:r>
        <w:continuationSeparator/>
      </w:r>
    </w:p>
  </w:footnote>
  <w:footnote w:id="1">
    <w:p w14:paraId="1AD3BF9C" w14:textId="65C8CFCC" w:rsidR="008B1C91" w:rsidRPr="00225E5C" w:rsidRDefault="008B1C9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225E5C">
        <w:t xml:space="preserve">Etienne Klein a écrit de nombreux livres à ce sujet, et entre autres, </w:t>
      </w:r>
      <w:r w:rsidR="00225E5C">
        <w:rPr>
          <w:i/>
          <w:iCs/>
        </w:rPr>
        <w:t xml:space="preserve">Discours sur l’origine du monde, </w:t>
      </w:r>
      <w:r w:rsidR="00225E5C">
        <w:t xml:space="preserve">Flammarion, 2010. </w:t>
      </w:r>
    </w:p>
  </w:footnote>
  <w:footnote w:id="2">
    <w:p w14:paraId="06AD31CC" w14:textId="273A9894" w:rsidR="00AC409E" w:rsidRPr="00423EAC" w:rsidRDefault="00AC409E">
      <w:pPr>
        <w:pStyle w:val="Notedebasdepage"/>
        <w:rPr>
          <w:i/>
          <w:iCs/>
        </w:rPr>
      </w:pPr>
      <w:r>
        <w:rPr>
          <w:rStyle w:val="Appelnotedebasdep"/>
        </w:rPr>
        <w:footnoteRef/>
      </w:r>
      <w:r w:rsidRPr="00164EB8">
        <w:t xml:space="preserve"> </w:t>
      </w:r>
      <w:r w:rsidR="00811621" w:rsidRPr="008166C9">
        <w:t>https://fr.wikipedia.org/wiki/Origine_de_la_vie</w:t>
      </w:r>
      <w:r w:rsidR="00811621" w:rsidRPr="00164EB8">
        <w:t>.</w:t>
      </w:r>
      <w:r w:rsidR="00164EB8" w:rsidRPr="00164EB8">
        <w:t xml:space="preserve"> </w:t>
      </w:r>
      <w:r w:rsidR="008166C9">
        <w:t>Selon cette hypothèse, une cellule vivante pourrait n’être composée que d’ARN</w:t>
      </w:r>
      <w:r w:rsidR="007651F5">
        <w:t>s et d’un ribosome</w:t>
      </w:r>
      <w:r w:rsidR="008166C9">
        <w:t xml:space="preserve"> L’ADN serait </w:t>
      </w:r>
      <w:r w:rsidR="007651F5">
        <w:t xml:space="preserve">venu </w:t>
      </w:r>
      <w:r w:rsidR="008166C9">
        <w:t>ensuite</w:t>
      </w:r>
      <w:r w:rsidR="00423EAC">
        <w:t xml:space="preserve">. </w:t>
      </w:r>
      <w:r w:rsidR="00F9697C">
        <w:t xml:space="preserve"> Voir aussi </w:t>
      </w:r>
      <w:proofErr w:type="spellStart"/>
      <w:r w:rsidR="00423EAC">
        <w:rPr>
          <w:i/>
          <w:iCs/>
        </w:rPr>
        <w:t>Infravies</w:t>
      </w:r>
      <w:proofErr w:type="spellEnd"/>
      <w:r w:rsidR="00423EAC">
        <w:rPr>
          <w:i/>
          <w:iCs/>
        </w:rPr>
        <w:t>. La v</w:t>
      </w:r>
      <w:r w:rsidR="00F9697C">
        <w:rPr>
          <w:i/>
          <w:iCs/>
        </w:rPr>
        <w:t>ie</w:t>
      </w:r>
      <w:r w:rsidR="00423EAC">
        <w:rPr>
          <w:i/>
          <w:iCs/>
        </w:rPr>
        <w:t xml:space="preserve"> sans frontières </w:t>
      </w:r>
      <w:r w:rsidR="00423EAC" w:rsidRPr="00423EAC">
        <w:t xml:space="preserve">Thomas </w:t>
      </w:r>
      <w:proofErr w:type="spellStart"/>
      <w:r w:rsidR="00423EAC" w:rsidRPr="00423EAC">
        <w:t>Heames</w:t>
      </w:r>
      <w:proofErr w:type="spellEnd"/>
      <w:r w:rsidR="00423EAC">
        <w:t>, Seuil, 2019</w:t>
      </w:r>
      <w:r w:rsidR="00F9697C">
        <w:t>.</w:t>
      </w:r>
    </w:p>
  </w:footnote>
  <w:footnote w:id="3">
    <w:p w14:paraId="59FBE1AF" w14:textId="1CF7738A" w:rsidR="008166C9" w:rsidRDefault="008166C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166C9">
        <w:t>https://fr.wikipedia.org/wiki/Dessein_intelligent</w:t>
      </w:r>
      <w:r>
        <w:t xml:space="preserve">. </w:t>
      </w:r>
    </w:p>
  </w:footnote>
  <w:footnote w:id="4">
    <w:p w14:paraId="4C9782DA" w14:textId="6916CE37" w:rsidR="00603D3C" w:rsidRPr="00603D3C" w:rsidRDefault="00603D3C">
      <w:pPr>
        <w:pStyle w:val="Notedebasdepage"/>
      </w:pPr>
      <w:r>
        <w:rPr>
          <w:rStyle w:val="Appelnotedebasdep"/>
        </w:rPr>
        <w:footnoteRef/>
      </w:r>
      <w:r>
        <w:t xml:space="preserve"> Philippe Deterre et Jean-Marie </w:t>
      </w:r>
      <w:proofErr w:type="spellStart"/>
      <w:r>
        <w:t>Ploux</w:t>
      </w:r>
      <w:proofErr w:type="spellEnd"/>
      <w:r>
        <w:t xml:space="preserve"> </w:t>
      </w:r>
      <w:r>
        <w:rPr>
          <w:i/>
          <w:iCs/>
        </w:rPr>
        <w:t xml:space="preserve">Un </w:t>
      </w:r>
      <w:r w:rsidRPr="00603D3C">
        <w:rPr>
          <w:i/>
          <w:iCs/>
        </w:rPr>
        <w:t>Dieu</w:t>
      </w:r>
      <w:r>
        <w:rPr>
          <w:i/>
          <w:iCs/>
        </w:rPr>
        <w:t xml:space="preserve"> créateur. Quel sens face à la </w:t>
      </w:r>
      <w:r w:rsidRPr="00603D3C">
        <w:rPr>
          <w:i/>
          <w:iCs/>
        </w:rPr>
        <w:t>science</w:t>
      </w:r>
      <w:r>
        <w:rPr>
          <w:i/>
          <w:iCs/>
        </w:rPr>
        <w:t xml:space="preserve"> et la souffrance ? </w:t>
      </w:r>
      <w:r>
        <w:t>Salvator,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3924"/>
    <w:multiLevelType w:val="hybridMultilevel"/>
    <w:tmpl w:val="B2BC8C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121BC"/>
    <w:multiLevelType w:val="hybridMultilevel"/>
    <w:tmpl w:val="DF766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6EB9"/>
    <w:multiLevelType w:val="hybridMultilevel"/>
    <w:tmpl w:val="E1285C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C3B5C"/>
    <w:multiLevelType w:val="hybridMultilevel"/>
    <w:tmpl w:val="CC06A594"/>
    <w:lvl w:ilvl="0" w:tplc="151E7C3A">
      <w:start w:val="5"/>
      <w:numFmt w:val="bullet"/>
      <w:lvlText w:val="­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6F5C"/>
    <w:multiLevelType w:val="hybridMultilevel"/>
    <w:tmpl w:val="ECB69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C57A7"/>
    <w:multiLevelType w:val="hybridMultilevel"/>
    <w:tmpl w:val="B178F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72156"/>
    <w:multiLevelType w:val="hybridMultilevel"/>
    <w:tmpl w:val="1C5691DE"/>
    <w:lvl w:ilvl="0" w:tplc="940E6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30402"/>
    <w:multiLevelType w:val="hybridMultilevel"/>
    <w:tmpl w:val="BC940FBA"/>
    <w:lvl w:ilvl="0" w:tplc="940E6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80830">
    <w:abstractNumId w:val="2"/>
  </w:num>
  <w:num w:numId="2" w16cid:durableId="2001349949">
    <w:abstractNumId w:val="0"/>
  </w:num>
  <w:num w:numId="3" w16cid:durableId="937248946">
    <w:abstractNumId w:val="3"/>
  </w:num>
  <w:num w:numId="4" w16cid:durableId="1405301318">
    <w:abstractNumId w:val="4"/>
  </w:num>
  <w:num w:numId="5" w16cid:durableId="1792363846">
    <w:abstractNumId w:val="1"/>
  </w:num>
  <w:num w:numId="6" w16cid:durableId="1485001236">
    <w:abstractNumId w:val="5"/>
  </w:num>
  <w:num w:numId="7" w16cid:durableId="938218011">
    <w:abstractNumId w:val="7"/>
  </w:num>
  <w:num w:numId="8" w16cid:durableId="294257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D4"/>
    <w:rsid w:val="00046F2E"/>
    <w:rsid w:val="00051084"/>
    <w:rsid w:val="000542CC"/>
    <w:rsid w:val="000641F5"/>
    <w:rsid w:val="00067406"/>
    <w:rsid w:val="000A564C"/>
    <w:rsid w:val="000A5E0D"/>
    <w:rsid w:val="000A5E9C"/>
    <w:rsid w:val="000B565E"/>
    <w:rsid w:val="000C6681"/>
    <w:rsid w:val="000D2781"/>
    <w:rsid w:val="00102A4D"/>
    <w:rsid w:val="00130AA7"/>
    <w:rsid w:val="00137CE5"/>
    <w:rsid w:val="00147833"/>
    <w:rsid w:val="00157855"/>
    <w:rsid w:val="00164EB8"/>
    <w:rsid w:val="001770C3"/>
    <w:rsid w:val="00177CFD"/>
    <w:rsid w:val="00184923"/>
    <w:rsid w:val="00193CC1"/>
    <w:rsid w:val="001A69B3"/>
    <w:rsid w:val="001B4003"/>
    <w:rsid w:val="001C4168"/>
    <w:rsid w:val="001E4F4D"/>
    <w:rsid w:val="00222793"/>
    <w:rsid w:val="00225E5C"/>
    <w:rsid w:val="00283F7A"/>
    <w:rsid w:val="002A605D"/>
    <w:rsid w:val="002B05E4"/>
    <w:rsid w:val="002C7895"/>
    <w:rsid w:val="002E5073"/>
    <w:rsid w:val="002F278D"/>
    <w:rsid w:val="00306F55"/>
    <w:rsid w:val="003315F8"/>
    <w:rsid w:val="00337B3B"/>
    <w:rsid w:val="00392BD4"/>
    <w:rsid w:val="003A3326"/>
    <w:rsid w:val="003A45A8"/>
    <w:rsid w:val="003A6CDD"/>
    <w:rsid w:val="003C1042"/>
    <w:rsid w:val="003D4C71"/>
    <w:rsid w:val="00423EAC"/>
    <w:rsid w:val="004247A0"/>
    <w:rsid w:val="00433EAA"/>
    <w:rsid w:val="004545CA"/>
    <w:rsid w:val="00456095"/>
    <w:rsid w:val="00457D19"/>
    <w:rsid w:val="00463466"/>
    <w:rsid w:val="0046637C"/>
    <w:rsid w:val="00472228"/>
    <w:rsid w:val="00486B4A"/>
    <w:rsid w:val="004B3A0B"/>
    <w:rsid w:val="004D2D1B"/>
    <w:rsid w:val="004D5DAF"/>
    <w:rsid w:val="004D7571"/>
    <w:rsid w:val="004F06AD"/>
    <w:rsid w:val="00530C4A"/>
    <w:rsid w:val="00532E8A"/>
    <w:rsid w:val="0053558B"/>
    <w:rsid w:val="00563442"/>
    <w:rsid w:val="005971E3"/>
    <w:rsid w:val="005B43A9"/>
    <w:rsid w:val="005B77C8"/>
    <w:rsid w:val="005F00B1"/>
    <w:rsid w:val="00603D3C"/>
    <w:rsid w:val="00606D57"/>
    <w:rsid w:val="006143DB"/>
    <w:rsid w:val="00615CF5"/>
    <w:rsid w:val="0063247F"/>
    <w:rsid w:val="00637012"/>
    <w:rsid w:val="006410C2"/>
    <w:rsid w:val="006460D2"/>
    <w:rsid w:val="006501D9"/>
    <w:rsid w:val="006530E0"/>
    <w:rsid w:val="0068115F"/>
    <w:rsid w:val="006C48FD"/>
    <w:rsid w:val="006D0419"/>
    <w:rsid w:val="007651F5"/>
    <w:rsid w:val="007710A7"/>
    <w:rsid w:val="00771916"/>
    <w:rsid w:val="00772347"/>
    <w:rsid w:val="0077703A"/>
    <w:rsid w:val="00792D17"/>
    <w:rsid w:val="00795B9B"/>
    <w:rsid w:val="007C0465"/>
    <w:rsid w:val="007C7ABE"/>
    <w:rsid w:val="007D6032"/>
    <w:rsid w:val="007E0684"/>
    <w:rsid w:val="007F584B"/>
    <w:rsid w:val="007F73AC"/>
    <w:rsid w:val="008057DE"/>
    <w:rsid w:val="00811621"/>
    <w:rsid w:val="008166C9"/>
    <w:rsid w:val="008215B5"/>
    <w:rsid w:val="0082206D"/>
    <w:rsid w:val="008A44FF"/>
    <w:rsid w:val="008B1C91"/>
    <w:rsid w:val="008C0098"/>
    <w:rsid w:val="008C409E"/>
    <w:rsid w:val="008F3893"/>
    <w:rsid w:val="008F699F"/>
    <w:rsid w:val="00911A1E"/>
    <w:rsid w:val="00923271"/>
    <w:rsid w:val="009336DA"/>
    <w:rsid w:val="00942D4E"/>
    <w:rsid w:val="00953EDE"/>
    <w:rsid w:val="00961848"/>
    <w:rsid w:val="00970C9B"/>
    <w:rsid w:val="00971AC1"/>
    <w:rsid w:val="00972A1B"/>
    <w:rsid w:val="009854BA"/>
    <w:rsid w:val="009864DF"/>
    <w:rsid w:val="009938F9"/>
    <w:rsid w:val="009C6D0B"/>
    <w:rsid w:val="00A12306"/>
    <w:rsid w:val="00A21CA6"/>
    <w:rsid w:val="00A27E72"/>
    <w:rsid w:val="00A527F8"/>
    <w:rsid w:val="00A632E3"/>
    <w:rsid w:val="00A76843"/>
    <w:rsid w:val="00A9280E"/>
    <w:rsid w:val="00AC409E"/>
    <w:rsid w:val="00AC5804"/>
    <w:rsid w:val="00AE22FB"/>
    <w:rsid w:val="00AF73BF"/>
    <w:rsid w:val="00B00204"/>
    <w:rsid w:val="00B0194B"/>
    <w:rsid w:val="00B1628F"/>
    <w:rsid w:val="00B50D74"/>
    <w:rsid w:val="00B531C7"/>
    <w:rsid w:val="00B823E2"/>
    <w:rsid w:val="00BA1B58"/>
    <w:rsid w:val="00BB1972"/>
    <w:rsid w:val="00BC0DDE"/>
    <w:rsid w:val="00BC7807"/>
    <w:rsid w:val="00BD05E3"/>
    <w:rsid w:val="00BD0D1E"/>
    <w:rsid w:val="00BE30C5"/>
    <w:rsid w:val="00BE5F84"/>
    <w:rsid w:val="00BF7E7E"/>
    <w:rsid w:val="00C03330"/>
    <w:rsid w:val="00C05F52"/>
    <w:rsid w:val="00C55111"/>
    <w:rsid w:val="00C631E9"/>
    <w:rsid w:val="00CA1B30"/>
    <w:rsid w:val="00CE6499"/>
    <w:rsid w:val="00CE789B"/>
    <w:rsid w:val="00CF79F2"/>
    <w:rsid w:val="00D05B85"/>
    <w:rsid w:val="00D108C1"/>
    <w:rsid w:val="00D314FD"/>
    <w:rsid w:val="00D413DE"/>
    <w:rsid w:val="00D45644"/>
    <w:rsid w:val="00D7586E"/>
    <w:rsid w:val="00D938BF"/>
    <w:rsid w:val="00D95464"/>
    <w:rsid w:val="00DA7F5D"/>
    <w:rsid w:val="00DC1BAD"/>
    <w:rsid w:val="00DC6D86"/>
    <w:rsid w:val="00DD316E"/>
    <w:rsid w:val="00DD7E3C"/>
    <w:rsid w:val="00DE4381"/>
    <w:rsid w:val="00DE66F0"/>
    <w:rsid w:val="00DF4F39"/>
    <w:rsid w:val="00E046E0"/>
    <w:rsid w:val="00E23665"/>
    <w:rsid w:val="00E2497B"/>
    <w:rsid w:val="00E503BD"/>
    <w:rsid w:val="00E55E44"/>
    <w:rsid w:val="00E60D2D"/>
    <w:rsid w:val="00E72331"/>
    <w:rsid w:val="00E928C3"/>
    <w:rsid w:val="00EA0E54"/>
    <w:rsid w:val="00EE0EC6"/>
    <w:rsid w:val="00F07043"/>
    <w:rsid w:val="00F1732F"/>
    <w:rsid w:val="00F174C0"/>
    <w:rsid w:val="00F26436"/>
    <w:rsid w:val="00F30CF8"/>
    <w:rsid w:val="00F321FA"/>
    <w:rsid w:val="00F530C5"/>
    <w:rsid w:val="00F67014"/>
    <w:rsid w:val="00F837C3"/>
    <w:rsid w:val="00F85D2E"/>
    <w:rsid w:val="00F96649"/>
    <w:rsid w:val="00F9697C"/>
    <w:rsid w:val="00FA11E1"/>
    <w:rsid w:val="00FC53CC"/>
    <w:rsid w:val="00FD5A90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8C9"/>
  <w15:docId w15:val="{32301853-D95B-493C-B8A8-69ECD4B8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FD"/>
    <w:pPr>
      <w:spacing w:before="120" w:after="0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42D4E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336DA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2D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336D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92B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58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804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C58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804"/>
    <w:rPr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409E"/>
    <w:pPr>
      <w:spacing w:before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409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C409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116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3CC2-4158-4E3F-8A93-91324286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1198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Deterre</dc:creator>
  <cp:keywords/>
  <dc:description/>
  <cp:lastModifiedBy>Compte Paroisse1</cp:lastModifiedBy>
  <cp:revision>2</cp:revision>
  <cp:lastPrinted>2022-03-23T14:11:00Z</cp:lastPrinted>
  <dcterms:created xsi:type="dcterms:W3CDTF">2022-11-09T14:47:00Z</dcterms:created>
  <dcterms:modified xsi:type="dcterms:W3CDTF">2022-11-09T14:47:00Z</dcterms:modified>
</cp:coreProperties>
</file>